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color="auto" w:space="0" w:sz="0" w:val="none"/>
          <w:left w:color="auto" w:space="0" w:sz="0" w:val="none"/>
          <w:bottom w:color="auto" w:space="0" w:sz="0" w:val="none"/>
          <w:right w:color="auto" w:space="0" w:sz="0" w:val="none"/>
          <w:between w:color="auto" w:space="0" w:sz="0" w:val="none"/>
        </w:pBdr>
        <w:shd w:fill="ffffff" w:val="clear"/>
        <w:spacing w:after="120" w:line="320.1600000000001" w:lineRule="auto"/>
        <w:rPr/>
      </w:pPr>
      <w:r w:rsidDel="00000000" w:rsidR="00000000" w:rsidRPr="00000000">
        <w:rPr>
          <w:rtl w:val="0"/>
        </w:rPr>
        <w:t xml:space="preserve">Media coverage of suicide has measurable effects on public attitudes and suicidal behavior. Kenyan television news remains entirely unstudied in this regard, and no published evidence exists on whether Kenyan broadcasters meet responsible reporting standards. This leaves journalists, regulators, and mental health advocates without a basis for intervention. Anchored in stigma theory and media contagion theory, this study employed a quantitative content analysis of 43 victim-centered broadcast news stories from four major Kenyan television stations (KTN, NTV, Citizen TV, and K24) aired between 2015 and 2025. Findings reveal pervasive non-compliance. Stigmatizing terminology appeared in 44.2% of stories and sensational vocabulary in 79.1%, while clinical framing was absent in 72.1% of reports. Although 48.8% of stories fully humanized the deceased, 72.1% ignored any mental health history. WHO responsible reporting compliance was consistently low, with a mean Don’ts score of 3.60 out of 8 and a mean Dos score of 0.58 out of 4. These findings suggest that Kenyan television suicide coverage predominantly operates within the Werther risk zone rather than the Papageno protective zone. The study calls on broadcasters, journalism trainers, and the Media Council of Kenya to develop sector-specific responsible reporting guidelines, integrate mental health literacy into editorial workflows, and establish sustained partnerships with mental health professionals as credible expert sources.</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02">
      <w:pPr>
        <w:pBdr>
          <w:top w:color="auto" w:space="0" w:sz="0" w:val="none"/>
          <w:left w:color="auto" w:space="0" w:sz="0" w:val="none"/>
          <w:bottom w:color="auto" w:space="0" w:sz="0" w:val="none"/>
          <w:right w:color="auto" w:space="0" w:sz="0" w:val="none"/>
          <w:between w:color="auto" w:space="0" w:sz="0" w:val="none"/>
        </w:pBdr>
        <w:shd w:fill="ffffff" w:val="clear"/>
        <w:spacing w:after="120" w:line="320.1600000000001" w:lineRule="auto"/>
        <w:rPr/>
      </w:pPr>
      <w:r w:rsidDel="00000000" w:rsidR="00000000" w:rsidRPr="00000000">
        <w:rPr>
          <w:rtl w:val="0"/>
        </w:rPr>
      </w:r>
    </w:p>
    <w:p w:rsidR="00000000" w:rsidDel="00000000" w:rsidP="00000000" w:rsidRDefault="00000000" w:rsidRPr="00000000" w14:paraId="00000003">
      <w:pPr>
        <w:pBdr>
          <w:top w:color="auto" w:space="0" w:sz="0" w:val="none"/>
          <w:left w:color="auto" w:space="0" w:sz="0" w:val="none"/>
          <w:bottom w:color="auto" w:space="0" w:sz="0" w:val="none"/>
          <w:right w:color="auto" w:space="0" w:sz="0" w:val="none"/>
          <w:between w:color="auto" w:space="0" w:sz="0" w:val="none"/>
        </w:pBdr>
        <w:shd w:fill="ffffff" w:val="clear"/>
        <w:spacing w:after="120" w:line="320.1600000000001" w:lineRule="auto"/>
        <w:rPr/>
      </w:pPr>
      <w:r w:rsidDel="00000000" w:rsidR="00000000" w:rsidRPr="00000000">
        <w:rPr>
          <w:rtl w:val="0"/>
        </w:rPr>
      </w:r>
    </w:p>
    <w:p w:rsidR="00000000" w:rsidDel="00000000" w:rsidP="00000000" w:rsidRDefault="00000000" w:rsidRPr="00000000" w14:paraId="00000004">
      <w:pPr>
        <w:pBdr>
          <w:top w:color="auto" w:space="0" w:sz="0" w:val="none"/>
          <w:left w:color="auto" w:space="0" w:sz="0" w:val="none"/>
          <w:bottom w:color="auto" w:space="0" w:sz="0" w:val="none"/>
          <w:right w:color="auto" w:space="0" w:sz="0" w:val="none"/>
          <w:between w:color="auto" w:space="0" w:sz="0" w:val="none"/>
        </w:pBdr>
        <w:shd w:fill="ffffff" w:val="clear"/>
        <w:spacing w:after="120" w:line="320.1600000000001" w:lineRule="auto"/>
        <w:rPr/>
      </w:pPr>
      <w:r w:rsidDel="00000000" w:rsidR="00000000" w:rsidRPr="00000000">
        <w:rPr>
          <w:rtl w:val="0"/>
        </w:rPr>
      </w:r>
    </w:p>
    <w:p w:rsidR="00000000" w:rsidDel="00000000" w:rsidP="00000000" w:rsidRDefault="00000000" w:rsidRPr="00000000" w14:paraId="00000005">
      <w:pPr>
        <w:pBdr>
          <w:top w:color="auto" w:space="0" w:sz="0" w:val="none"/>
          <w:left w:color="auto" w:space="0" w:sz="0" w:val="none"/>
          <w:bottom w:color="auto" w:space="0" w:sz="0" w:val="none"/>
          <w:right w:color="auto" w:space="0" w:sz="0" w:val="none"/>
          <w:between w:color="auto" w:space="0" w:sz="0" w:val="none"/>
        </w:pBdr>
        <w:shd w:fill="ffffff" w:val="clear"/>
        <w:spacing w:after="120" w:line="320.1600000000001" w:lineRule="auto"/>
        <w:rPr>
          <w:sz w:val="72"/>
          <w:szCs w:val="72"/>
        </w:rPr>
      </w:pPr>
      <w:r w:rsidDel="00000000" w:rsidR="00000000" w:rsidRPr="00000000">
        <w:rPr>
          <w:rtl w:val="0"/>
        </w:rPr>
      </w:r>
    </w:p>
    <w:p w:rsidR="00000000" w:rsidDel="00000000" w:rsidP="00000000" w:rsidRDefault="00000000" w:rsidRPr="00000000" w14:paraId="00000006">
      <w:pPr>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120" w:before="0" w:line="297.59999999999997" w:lineRule="auto"/>
        <w:jc w:val="both"/>
        <w:rPr/>
      </w:pPr>
      <w:r w:rsidDel="00000000" w:rsidR="00000000" w:rsidRPr="00000000">
        <w:rPr>
          <w:rtl w:val="0"/>
        </w:rPr>
      </w:r>
    </w:p>
    <w:p w:rsidR="00000000" w:rsidDel="00000000" w:rsidP="00000000" w:rsidRDefault="00000000" w:rsidRPr="00000000" w14:paraId="00000007">
      <w:pPr>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240" w:before="360" w:lineRule="auto"/>
        <w:jc w:val="both"/>
        <w:rPr/>
      </w:pPr>
      <w:r w:rsidDel="00000000" w:rsidR="00000000" w:rsidRPr="00000000">
        <w:rPr>
          <w:rtl w:val="0"/>
        </w:rPr>
      </w:r>
    </w:p>
    <w:p w:rsidR="00000000" w:rsidDel="00000000" w:rsidP="00000000" w:rsidRDefault="00000000" w:rsidRPr="00000000" w14:paraId="00000008">
      <w:pPr>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240" w:before="360" w:lineRule="auto"/>
        <w:jc w:val="both"/>
        <w:rPr/>
      </w:pPr>
      <w:r w:rsidDel="00000000" w:rsidR="00000000" w:rsidRPr="00000000">
        <w:rPr>
          <w:rtl w:val="0"/>
        </w:rPr>
      </w:r>
    </w:p>
    <w:p w:rsidR="00000000" w:rsidDel="00000000" w:rsidP="00000000" w:rsidRDefault="00000000" w:rsidRPr="00000000" w14:paraId="00000009">
      <w:pPr>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240" w:before="360" w:lineRule="auto"/>
        <w:jc w:val="both"/>
        <w:rPr/>
      </w:pPr>
      <w:r w:rsidDel="00000000" w:rsidR="00000000" w:rsidRPr="00000000">
        <w:rPr>
          <w:rtl w:val="0"/>
        </w:rPr>
      </w:r>
    </w:p>
    <w:p w:rsidR="00000000" w:rsidDel="00000000" w:rsidP="00000000" w:rsidRDefault="00000000" w:rsidRPr="00000000" w14:paraId="0000000A">
      <w:pPr>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240" w:before="360" w:lineRule="auto"/>
        <w:jc w:val="both"/>
        <w:rPr/>
      </w:pPr>
      <w:r w:rsidDel="00000000" w:rsidR="00000000" w:rsidRPr="00000000">
        <w:rPr>
          <w:rtl w:val="0"/>
        </w:rPr>
      </w:r>
    </w:p>
    <w:p w:rsidR="00000000" w:rsidDel="00000000" w:rsidP="00000000" w:rsidRDefault="00000000" w:rsidRPr="00000000" w14:paraId="0000000B">
      <w:pPr>
        <w:pStyle w:val="Heading1"/>
        <w:keepNext w:val="0"/>
        <w:keepLines w:val="0"/>
        <w:pBdr>
          <w:top w:color="d1d1d2" w:space="0" w:sz="0" w:val="none"/>
          <w:left w:color="d1d1d2" w:space="0" w:sz="0" w:val="none"/>
          <w:bottom w:color="d1d1d2" w:space="0" w:sz="0" w:val="none"/>
          <w:right w:color="d1d1d2" w:space="0" w:sz="0" w:val="none"/>
          <w:between w:color="d1d1d2" w:space="0" w:sz="0" w:val="none"/>
        </w:pBdr>
        <w:shd w:fill="ffffff" w:val="clear"/>
        <w:spacing w:after="0" w:before="0" w:line="349.09090909090907" w:lineRule="auto"/>
        <w:jc w:val="both"/>
        <w:rPr>
          <w:rFonts w:ascii="Roboto" w:cs="Roboto" w:eastAsia="Roboto" w:hAnsi="Roboto"/>
          <w:b w:val="1"/>
          <w:bCs w:val="1"/>
          <w:color w:val="131314"/>
          <w:sz w:val="33"/>
          <w:szCs w:val="33"/>
        </w:rPr>
      </w:pPr>
      <w:bookmarkStart w:colFirst="0" w:colLast="0" w:name="_x8pkeqz9wkfw" w:id="0"/>
      <w:bookmarkEnd w:id="0"/>
      <w:r w:rsidDel="00000000" w:rsidR="00000000" w:rsidRPr="00000000">
        <w:rPr>
          <w:rtl w:val="0"/>
        </w:rPr>
      </w:r>
    </w:p>
    <w:p w:rsidR="00000000" w:rsidDel="00000000" w:rsidP="00000000" w:rsidRDefault="00000000" w:rsidRPr="00000000" w14:paraId="0000000C">
      <w:pPr>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240" w:before="360" w:lineRule="auto"/>
        <w:jc w:val="both"/>
        <w:rPr/>
      </w:pPr>
      <w:r w:rsidDel="00000000" w:rsidR="00000000" w:rsidRPr="00000000">
        <w:rPr>
          <w:rtl w:val="0"/>
        </w:rPr>
      </w:r>
    </w:p>
    <w:p w:rsidR="00000000" w:rsidDel="00000000" w:rsidP="00000000" w:rsidRDefault="00000000" w:rsidRPr="00000000" w14:paraId="0000000D">
      <w:pPr>
        <w:shd w:fill="ffffff" w:val="clear"/>
        <w:spacing w:line="276" w:lineRule="auto"/>
        <w:jc w:val="both"/>
        <w:rPr>
          <w:color w:val="1f1f1f"/>
        </w:rPr>
      </w:pPr>
      <w:r w:rsidDel="00000000" w:rsidR="00000000" w:rsidRPr="00000000">
        <w:rPr>
          <w:rtl w:val="0"/>
        </w:rPr>
      </w:r>
    </w:p>
    <w:p w:rsidR="00000000" w:rsidDel="00000000" w:rsidP="00000000" w:rsidRDefault="00000000" w:rsidRPr="00000000" w14:paraId="0000000E">
      <w:pPr>
        <w:shd w:fill="ffffff" w:val="clear"/>
        <w:spacing w:line="276" w:lineRule="auto"/>
        <w:jc w:val="both"/>
        <w:rPr>
          <w:color w:val="333333"/>
        </w:rPr>
      </w:pPr>
      <w:r w:rsidDel="00000000" w:rsidR="00000000" w:rsidRPr="00000000">
        <w:rPr>
          <w:rtl w:val="0"/>
        </w:rPr>
      </w:r>
    </w:p>
    <w:p w:rsidR="00000000" w:rsidDel="00000000" w:rsidP="00000000" w:rsidRDefault="00000000" w:rsidRPr="00000000" w14:paraId="0000000F">
      <w:pPr>
        <w:shd w:fill="ffffff" w:val="clear"/>
        <w:spacing w:line="276" w:lineRule="auto"/>
        <w:jc w:val="both"/>
        <w:rPr>
          <w:color w:val="333333"/>
        </w:rPr>
      </w:pPr>
      <w:r w:rsidDel="00000000" w:rsidR="00000000" w:rsidRPr="00000000">
        <w:rPr>
          <w:rtl w:val="0"/>
        </w:rPr>
      </w:r>
    </w:p>
    <w:p w:rsidR="00000000" w:rsidDel="00000000" w:rsidP="00000000" w:rsidRDefault="00000000" w:rsidRPr="00000000" w14:paraId="00000010">
      <w:pPr>
        <w:shd w:fill="ffffff" w:val="clear"/>
        <w:spacing w:line="276" w:lineRule="auto"/>
        <w:jc w:val="both"/>
        <w:rPr>
          <w:color w:val="0e101a"/>
        </w:rPr>
      </w:pPr>
      <w:r w:rsidDel="00000000" w:rsidR="00000000" w:rsidRPr="00000000">
        <w:rPr>
          <w:rtl w:val="0"/>
        </w:rPr>
      </w:r>
    </w:p>
    <w:p w:rsidR="00000000" w:rsidDel="00000000" w:rsidP="00000000" w:rsidRDefault="00000000" w:rsidRPr="00000000" w14:paraId="00000011">
      <w:pPr>
        <w:shd w:fill="ffffff" w:val="clear"/>
        <w:spacing w:line="276" w:lineRule="auto"/>
        <w:jc w:val="both"/>
        <w:rPr>
          <w:color w:val="0e101a"/>
        </w:rPr>
      </w:pPr>
      <w:r w:rsidDel="00000000" w:rsidR="00000000" w:rsidRPr="00000000">
        <w:rPr>
          <w:rtl w:val="0"/>
        </w:rPr>
      </w:r>
    </w:p>
    <w:p w:rsidR="00000000" w:rsidDel="00000000" w:rsidP="00000000" w:rsidRDefault="00000000" w:rsidRPr="00000000" w14:paraId="00000012">
      <w:pPr>
        <w:rPr>
          <w:highlight w:val="white"/>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