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332.40000000000003" w:lineRule="auto"/>
        <w:rPr/>
      </w:pPr>
      <w:r w:rsidDel="00000000" w:rsidR="00000000" w:rsidRPr="00000000">
        <w:rPr>
          <w:rtl w:val="0"/>
        </w:rPr>
        <w:t xml:space="preserve">In recent years, the global community has witnessed the increasing impacts of climate change, resulting in various environmental challenges, including water scarcity (Stringer et al., 2021). Developing countries like Kenya are particularly vulnerable to these changes due to their heavy reliance on agriculture and limited access to water resources (Maingey et al., 2022). Addressing these challenges requires a multifaceted approach involving not only scientific and technological solutions but also community engagement and capacity building. One vital aspect of this approach is the role of media in disseminating information and fostering awareness among communities. Media platforms, including television, radio, print, and digital media, possess the unique ability to reach a broad audience and convey messages that can drive positive behavior change (Bara et al., 2021). In Kenya, where access to information is growing but remains uneven, the media can be a powerful tool to educate and empower communities regarding water use efficiency and climate control (Wutich et al., 2023).This study seeks to explore the significant role that media plays in facilitating community capacity building for enhancing water use efficiency and promoting climate control in Kenya. By examining how media channels communicate information, influence public perception, and stimulate local engagement, this research aims to uncover the various strategies employed by media to drive positive changes in water management practices and climate-conscious behaviors. Through an in-depth analysis of media campaigns, coverage, and communication strategies, this study will contribute to a better understanding of how media can effectively shape perceptions, attitudes, and actions related to water conservation and climate resilience (Ali et al., 2023). The insights gained from this research could inform policy recommendations and practical interventions that leverage the power of media for sustainable community development in Kenya and potentially serve as a model for other regions facing similar challenges.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8">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E">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F">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