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214.33584" w:lineRule="auto"/>
        <w:rPr/>
      </w:pPr>
      <w:r w:rsidDel="00000000" w:rsidR="00000000" w:rsidRPr="00000000">
        <w:rPr>
          <w:rtl w:val="0"/>
        </w:rPr>
        <w:t xml:space="preserve">Technological advances such as AI recommendations and automated technologies have shaped the media industry and changed production, distribution, consumption, and monetization of media products over time. While all these technological advances have contributed to increased efficiency and innovation in media, they have brought forth several ethical issues such as transparency and invasion of privacy. This research attempts to answer the ethical questions raised by technological innovations in journalism, films, advertisements, and digital communication. Methodologically, the research employs qualitative content analysis and case study research. Data collection procedures included use of desktop research techniques through literature review, policy review, industry reports, and media case studies. Analysis concentrated on the identification and interpretation of recurring ethical issues in selected case studies involving artificial intelligence content creation, algorithmic processing, deepfakes technology, and facial recognition. This paper reveals six major ethical issues: transparency and disclosure; privacy and surveillance; algorithmic bias and discrimination; misinformation and synthetic media; accountability and governance; and consent and digital personhood. Analysis suggests that emerging media technologies have disrupted the traditional concepts of truth, authorship, editorial responsibilities, and media accountability and hence exposed weaknesses in ethical and regulatory approaches for such innovations. The current research concludes that media ethics should be revised to accommodate algorithmically-mediated media communication processes. It is recommended that there be mandatory disclosure of artificial intelligence-generated content, increased human editorial control, ethical artificial intelligence audits, updated media ethics codes, deployment of deepfake detection technologies, improved digital media literacy, and development of multi-stakeholder regulatory frameworks for emerging media technologies.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332.40000000000003" w:lineRule="auto"/>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218.5548" w:lineRule="auto"/>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9">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A">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B">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C">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D">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E">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F">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10">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11">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5">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