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color w:val="333333"/>
          <w:rtl w:val="0"/>
        </w:rPr>
        <w:t xml:space="preserve">This article examines the post-award implications of international prize culture within the journalism profession. Through qualitative interviews with winners of CNN competitions, this paper specifically investigates how news professionals discursively construct the notion of excellence within the space of international award practice, and then how they subsequently perceive their roles in the post-award dispensation. The key findings show that journalists’ understanding of excellence through awards is fluid and based on individual, institutional as well as professional notions of what constitutes par/sub-par journalism. These “bearers of excellence” perceive themselves as promoters of high standards of journalistic practice and champions of normative roles, such as the watchdog role, which fits into the broader mission of the specific institution sponsoring the awards.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numPr>
          <w:ilvl w:val="0"/>
          <w:numId w:val="1"/>
        </w:numPr>
        <w:spacing w:after="220" w:line="360" w:lineRule="auto"/>
        <w:ind w:left="720" w:right="220" w:hanging="360"/>
        <w:rPr>
          <w:color w:val="000000"/>
          <w:highlight w:val="white"/>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333333"/>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